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54435" w14:textId="1FAF7A58" w:rsidR="003349D5" w:rsidRPr="003349D5" w:rsidRDefault="003349D5" w:rsidP="003349D5">
      <w:pPr>
        <w:pStyle w:val="Header"/>
        <w:jc w:val="both"/>
        <w:rPr>
          <w:rFonts w:cs="Arial"/>
          <w:bCs/>
          <w:sz w:val="28"/>
        </w:rPr>
      </w:pPr>
      <w:bookmarkStart w:id="0" w:name="_Hlk145670493"/>
      <w:r w:rsidRPr="003349D5">
        <w:rPr>
          <w:rFonts w:cs="Arial"/>
          <w:bCs/>
          <w:sz w:val="28"/>
        </w:rPr>
        <w:t>3GPP TSG RAN WG1 #12</w:t>
      </w:r>
      <w:r w:rsidRPr="003349D5">
        <w:rPr>
          <w:rFonts w:eastAsia="Times New Roman" w:cs="Arial"/>
          <w:bCs/>
          <w:sz w:val="28"/>
        </w:rPr>
        <w:t>2</w:t>
      </w:r>
      <w:r w:rsidRPr="003349D5">
        <w:rPr>
          <w:rFonts w:cs="Arial"/>
          <w:bCs/>
          <w:sz w:val="28"/>
        </w:rPr>
        <w:tab/>
      </w:r>
      <w:r w:rsidRPr="003349D5">
        <w:rPr>
          <w:rFonts w:cs="Arial"/>
          <w:bCs/>
          <w:sz w:val="28"/>
        </w:rPr>
        <w:tab/>
      </w:r>
      <w:r w:rsidRPr="003349D5">
        <w:rPr>
          <w:rFonts w:cs="Arial"/>
          <w:bCs/>
          <w:sz w:val="28"/>
        </w:rPr>
        <w:tab/>
      </w:r>
      <w:r>
        <w:rPr>
          <w:rFonts w:cs="Arial"/>
          <w:bCs/>
          <w:sz w:val="28"/>
        </w:rPr>
        <w:tab/>
      </w:r>
      <w:r>
        <w:rPr>
          <w:rFonts w:cs="Arial"/>
          <w:bCs/>
          <w:sz w:val="28"/>
        </w:rPr>
        <w:tab/>
      </w:r>
      <w:r w:rsidRPr="003349D5">
        <w:rPr>
          <w:rFonts w:cs="Arial"/>
          <w:bCs/>
          <w:sz w:val="28"/>
          <w:lang w:val="en-GB"/>
        </w:rPr>
        <w:t>R1-2506169</w:t>
      </w:r>
    </w:p>
    <w:p w14:paraId="34B67953" w14:textId="77777777" w:rsidR="003349D5" w:rsidRPr="003349D5" w:rsidRDefault="003349D5" w:rsidP="003349D5">
      <w:pPr>
        <w:pStyle w:val="Header"/>
        <w:tabs>
          <w:tab w:val="right" w:pos="9639"/>
        </w:tabs>
        <w:jc w:val="both"/>
        <w:rPr>
          <w:rFonts w:cs="Arial"/>
          <w:bCs/>
          <w:sz w:val="28"/>
        </w:rPr>
      </w:pPr>
      <w:r w:rsidRPr="003349D5">
        <w:rPr>
          <w:rFonts w:cs="Arial"/>
          <w:bCs/>
          <w:sz w:val="28"/>
        </w:rPr>
        <w:t xml:space="preserve">Bengaluru, India, Aug </w:t>
      </w:r>
      <w:r w:rsidRPr="003349D5">
        <w:rPr>
          <w:rFonts w:eastAsia="Times New Roman" w:cs="Arial"/>
          <w:bCs/>
          <w:sz w:val="28"/>
        </w:rPr>
        <w:t>25</w:t>
      </w:r>
      <w:r w:rsidRPr="003349D5">
        <w:rPr>
          <w:rFonts w:eastAsia="Times New Roman" w:cs="Arial" w:hint="eastAsia"/>
          <w:bCs/>
          <w:sz w:val="28"/>
          <w:vertAlign w:val="superscript"/>
        </w:rPr>
        <w:t>th</w:t>
      </w:r>
      <w:r w:rsidRPr="003349D5">
        <w:rPr>
          <w:rFonts w:eastAsia="Times New Roman" w:cs="Arial"/>
          <w:bCs/>
          <w:sz w:val="28"/>
        </w:rPr>
        <w:t xml:space="preserve"> </w:t>
      </w:r>
      <w:r w:rsidRPr="003349D5">
        <w:rPr>
          <w:rFonts w:cs="Arial"/>
          <w:bCs/>
          <w:sz w:val="28"/>
        </w:rPr>
        <w:t>– 2</w:t>
      </w:r>
      <w:r w:rsidRPr="003349D5">
        <w:rPr>
          <w:rFonts w:eastAsia="Times New Roman" w:cs="Arial"/>
          <w:bCs/>
          <w:sz w:val="28"/>
        </w:rPr>
        <w:t>9</w:t>
      </w:r>
      <w:r w:rsidRPr="003349D5">
        <w:rPr>
          <w:rFonts w:cs="Arial"/>
          <w:bCs/>
          <w:sz w:val="28"/>
          <w:vertAlign w:val="superscript"/>
        </w:rPr>
        <w:t>th</w:t>
      </w:r>
      <w:r w:rsidRPr="003349D5">
        <w:rPr>
          <w:rFonts w:eastAsia="Times New Roman" w:cs="Arial"/>
          <w:bCs/>
          <w:sz w:val="28"/>
        </w:rPr>
        <w:t>, 2025</w:t>
      </w:r>
      <w:bookmarkEnd w:id="0"/>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66860E1B"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1" w:name="Source"/>
      <w:bookmarkEnd w:id="1"/>
      <w:r w:rsidR="00803877">
        <w:rPr>
          <w:rFonts w:ascii="Arial" w:hAnsi="Arial"/>
          <w:sz w:val="24"/>
          <w:lang w:val="en-US"/>
        </w:rPr>
        <w:t>5</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07EA496"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A93852" w:rsidRPr="00A93852">
        <w:rPr>
          <w:rFonts w:ascii="Arial" w:hAnsi="Arial"/>
          <w:sz w:val="24"/>
          <w:lang w:val="en-US"/>
        </w:rPr>
        <w:t>On CB-msg3-EDT</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2" w:name="DocumentFor"/>
      <w:bookmarkEnd w:id="2"/>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54CDF074" w:rsidR="00394823" w:rsidRPr="00E327DE" w:rsidRDefault="00394823" w:rsidP="00394823">
      <w:pPr>
        <w:pStyle w:val="Heading1"/>
        <w:numPr>
          <w:ilvl w:val="0"/>
          <w:numId w:val="1"/>
        </w:numPr>
        <w:tabs>
          <w:tab w:val="num" w:pos="720"/>
        </w:tabs>
        <w:ind w:left="720" w:hanging="720"/>
        <w:jc w:val="both"/>
        <w:rPr>
          <w:lang w:val="en-US"/>
        </w:rPr>
      </w:pPr>
      <w:r w:rsidRPr="00E327DE">
        <w:rPr>
          <w:lang w:val="en-US"/>
        </w:rPr>
        <w:t>Background</w:t>
      </w:r>
    </w:p>
    <w:p w14:paraId="3FDC503C" w14:textId="731FD823" w:rsidR="00394823" w:rsidRDefault="00394823" w:rsidP="00394823">
      <w:pPr>
        <w:rPr>
          <w:lang w:val="en-US"/>
        </w:rPr>
      </w:pPr>
      <w:r w:rsidRPr="00E327DE">
        <w:rPr>
          <w:lang w:val="en-US"/>
        </w:rPr>
        <w:t xml:space="preserve">In </w:t>
      </w:r>
      <w:r w:rsidR="007F18E8">
        <w:rPr>
          <w:lang w:val="en-US"/>
        </w:rPr>
        <w:t>[1], RAN</w:t>
      </w:r>
      <w:r w:rsidR="00A93852">
        <w:rPr>
          <w:lang w:val="en-US"/>
        </w:rPr>
        <w:t>2 sent an LS to RAN1 with the following content:</w:t>
      </w:r>
    </w:p>
    <w:p w14:paraId="54F690C6" w14:textId="77777777" w:rsidR="0080069D" w:rsidRDefault="0080069D" w:rsidP="0080069D">
      <w:pPr>
        <w:pStyle w:val="Agreement"/>
        <w:widowControl w:val="0"/>
        <w:numPr>
          <w:ilvl w:val="0"/>
          <w:numId w:val="0"/>
        </w:numPr>
      </w:pPr>
      <w:r>
        <w:t>Agreements regarding HARQ feedback for MSG4 (i.e., CB-msg3 response)</w:t>
      </w:r>
      <w:r w:rsidRPr="00F7026E">
        <w:t>:</w:t>
      </w:r>
    </w:p>
    <w:p w14:paraId="121CDB77" w14:textId="77777777" w:rsidR="0080069D" w:rsidRPr="00295DAF" w:rsidRDefault="0080069D" w:rsidP="00AA30F5">
      <w:pPr>
        <w:pStyle w:val="Agreement"/>
        <w:widowControl w:val="0"/>
        <w:numPr>
          <w:ilvl w:val="0"/>
          <w:numId w:val="4"/>
        </w:numPr>
        <w:rPr>
          <w:b w:val="0"/>
          <w:bCs/>
        </w:rPr>
      </w:pPr>
      <w:r w:rsidRPr="00295DAF">
        <w:rPr>
          <w:b w:val="0"/>
          <w:bCs/>
        </w:rPr>
        <w:t>The HARQ feedback resource information can be included in the CB-Msg4 together with contention resolution ID which identity the specific UE. RAN2 could revisit this proposal if RAN1 has some concern.</w:t>
      </w:r>
    </w:p>
    <w:p w14:paraId="781C2E68" w14:textId="77777777" w:rsidR="0080069D" w:rsidRPr="00295DAF" w:rsidRDefault="0080069D" w:rsidP="00AA30F5">
      <w:pPr>
        <w:pStyle w:val="Agreement"/>
        <w:widowControl w:val="0"/>
        <w:numPr>
          <w:ilvl w:val="0"/>
          <w:numId w:val="4"/>
        </w:numPr>
        <w:rPr>
          <w:b w:val="0"/>
          <w:bCs/>
        </w:rPr>
      </w:pPr>
      <w:r w:rsidRPr="00295DAF">
        <w:rPr>
          <w:b w:val="0"/>
          <w:bCs/>
        </w:rPr>
        <w:t>Whether to send the HARQ feedback for CB-Msg4 can be controlled by NW. UE does not send HARQ NACK.</w:t>
      </w:r>
    </w:p>
    <w:p w14:paraId="6C2D453D" w14:textId="77777777" w:rsidR="0080069D" w:rsidRPr="00295DAF" w:rsidRDefault="0080069D" w:rsidP="00AA30F5">
      <w:pPr>
        <w:pStyle w:val="Agreement"/>
        <w:widowControl w:val="0"/>
        <w:numPr>
          <w:ilvl w:val="0"/>
          <w:numId w:val="4"/>
        </w:numPr>
        <w:rPr>
          <w:b w:val="0"/>
          <w:bCs/>
        </w:rPr>
      </w:pPr>
      <w:r w:rsidRPr="00295DAF">
        <w:rPr>
          <w:b w:val="0"/>
          <w:bCs/>
        </w:rPr>
        <w:t>For NB-IoT, the SubCarrierSpacing of the HARQ feedback for CB-Msg4 is same as the CB-Msg3.</w:t>
      </w:r>
    </w:p>
    <w:p w14:paraId="1FC61FEF" w14:textId="77777777" w:rsidR="0080069D" w:rsidRDefault="0080069D" w:rsidP="00AA30F5">
      <w:pPr>
        <w:pStyle w:val="Agreement"/>
        <w:widowControl w:val="0"/>
        <w:numPr>
          <w:ilvl w:val="0"/>
          <w:numId w:val="4"/>
        </w:numPr>
        <w:rPr>
          <w:b w:val="0"/>
          <w:bCs/>
        </w:rPr>
      </w:pPr>
      <w:r w:rsidRPr="00295DAF">
        <w:rPr>
          <w:b w:val="0"/>
          <w:bCs/>
        </w:rPr>
        <w:t xml:space="preserve">Reuse the existing format of HARQ ACK allocation signalling in the DCI. There is 2-bit HARQ ACK resource for eMTC and 4-bit HARQ ACK resource for NB-IoT. Reuse the meaning of DCI field in R1 SPEC. </w:t>
      </w:r>
    </w:p>
    <w:p w14:paraId="0EC3E786" w14:textId="77777777" w:rsidR="0080069D" w:rsidRPr="00295DAF" w:rsidRDefault="0080069D" w:rsidP="00AA30F5">
      <w:pPr>
        <w:pStyle w:val="Agreement"/>
        <w:widowControl w:val="0"/>
        <w:numPr>
          <w:ilvl w:val="0"/>
          <w:numId w:val="4"/>
        </w:numPr>
      </w:pPr>
      <w:r w:rsidRPr="00295DAF">
        <w:rPr>
          <w:b w:val="0"/>
          <w:bCs/>
        </w:rPr>
        <w:t xml:space="preserve">Introduce a new CB-Msg3 Response (CBR) MAC sub-header in CB-Msg4. It has 1bit E for sub-header/payload indication, 2 bits T for sub-header type, 1bit T2 for HARQ ACK resource present, </w:t>
      </w:r>
      <w:proofErr w:type="gramStart"/>
      <w:r w:rsidRPr="00295DAF">
        <w:rPr>
          <w:b w:val="0"/>
          <w:bCs/>
        </w:rPr>
        <w:t>1 bit</w:t>
      </w:r>
      <w:proofErr w:type="gramEnd"/>
      <w:r w:rsidRPr="00295DAF">
        <w:rPr>
          <w:b w:val="0"/>
          <w:bCs/>
        </w:rPr>
        <w:t xml:space="preserve"> T3 for TAC present, </w:t>
      </w:r>
      <w:proofErr w:type="gramStart"/>
      <w:r w:rsidRPr="00295DAF">
        <w:rPr>
          <w:b w:val="0"/>
          <w:bCs/>
        </w:rPr>
        <w:t>1 bit</w:t>
      </w:r>
      <w:proofErr w:type="gramEnd"/>
      <w:r w:rsidRPr="00295DAF">
        <w:rPr>
          <w:b w:val="0"/>
          <w:bCs/>
        </w:rPr>
        <w:t xml:space="preserve"> T4 for C-RNTI present and 2bit R for reservation</w:t>
      </w:r>
    </w:p>
    <w:p w14:paraId="31EDC49B" w14:textId="77777777" w:rsidR="00A93852" w:rsidRDefault="00A93852" w:rsidP="00394823"/>
    <w:p w14:paraId="4E5588A8" w14:textId="77777777" w:rsidR="003E381C" w:rsidRDefault="003E381C" w:rsidP="003E381C">
      <w:pPr>
        <w:pStyle w:val="Agreement"/>
        <w:widowControl w:val="0"/>
        <w:numPr>
          <w:ilvl w:val="0"/>
          <w:numId w:val="0"/>
        </w:numPr>
      </w:pPr>
      <w:r>
        <w:t>Agreements regarding TAC in MSG4 (i.e., CB-msg3 response)</w:t>
      </w:r>
      <w:r w:rsidRPr="00F7026E">
        <w:t>:</w:t>
      </w:r>
    </w:p>
    <w:p w14:paraId="42688606" w14:textId="77777777" w:rsidR="003E381C" w:rsidRPr="00295DAF" w:rsidRDefault="003E381C" w:rsidP="00AA30F5">
      <w:pPr>
        <w:pStyle w:val="Agreement"/>
        <w:widowControl w:val="0"/>
        <w:numPr>
          <w:ilvl w:val="0"/>
          <w:numId w:val="4"/>
        </w:numPr>
        <w:rPr>
          <w:b w:val="0"/>
          <w:bCs/>
        </w:rPr>
      </w:pPr>
      <w:r w:rsidRPr="00295DAF">
        <w:rPr>
          <w:b w:val="0"/>
          <w:bCs/>
        </w:rPr>
        <w:t xml:space="preserve">The TAC is optionally used in the CB-Msg3 response. </w:t>
      </w:r>
    </w:p>
    <w:p w14:paraId="3EEA6AB9" w14:textId="77777777" w:rsidR="003E381C" w:rsidRDefault="003E381C" w:rsidP="00AA30F5">
      <w:pPr>
        <w:pStyle w:val="Agreement"/>
        <w:widowControl w:val="0"/>
        <w:numPr>
          <w:ilvl w:val="0"/>
          <w:numId w:val="4"/>
        </w:numPr>
        <w:rPr>
          <w:b w:val="0"/>
          <w:bCs/>
        </w:rPr>
      </w:pPr>
      <w:r w:rsidRPr="00295DAF">
        <w:rPr>
          <w:b w:val="0"/>
          <w:bCs/>
        </w:rPr>
        <w:t xml:space="preserve">RAN2 assumes that NTA=0 for initial CB-msg3 transmission. </w:t>
      </w:r>
    </w:p>
    <w:p w14:paraId="0449D3C5" w14:textId="420D0D2E" w:rsidR="00531767" w:rsidRPr="003E381C" w:rsidRDefault="003E381C" w:rsidP="00AA30F5">
      <w:pPr>
        <w:pStyle w:val="Agreement"/>
        <w:widowControl w:val="0"/>
        <w:numPr>
          <w:ilvl w:val="0"/>
          <w:numId w:val="4"/>
        </w:numPr>
        <w:rPr>
          <w:b w:val="0"/>
          <w:bCs/>
        </w:rPr>
      </w:pPr>
      <w:r w:rsidRPr="00295DAF">
        <w:rPr>
          <w:b w:val="0"/>
          <w:bCs/>
        </w:rPr>
        <w:t>RAN2 assumes the length of the TAC field is 6 bits (we can revisit this if there is major R1 impact on TA calculation)</w:t>
      </w:r>
    </w:p>
    <w:p w14:paraId="09F7B367" w14:textId="77777777" w:rsidR="00531767" w:rsidRDefault="00531767" w:rsidP="00394823"/>
    <w:p w14:paraId="386F4962" w14:textId="42357A30" w:rsidR="00E86BAD" w:rsidRDefault="00E86BAD" w:rsidP="00394823">
      <w:r>
        <w:t xml:space="preserve">RAN2 asked for feedback about the agreements above. In this contribution, we present our view on the agreements above. We focus on two </w:t>
      </w:r>
      <w:proofErr w:type="gramStart"/>
      <w:r>
        <w:t>particular issues</w:t>
      </w:r>
      <w:proofErr w:type="gramEnd"/>
      <w:r>
        <w:t>:</w:t>
      </w:r>
    </w:p>
    <w:p w14:paraId="685DDAF9" w14:textId="1B1C39ED" w:rsidR="00E86BAD" w:rsidRDefault="008467D0" w:rsidP="00AA30F5">
      <w:pPr>
        <w:pStyle w:val="ListParagraph"/>
        <w:numPr>
          <w:ilvl w:val="0"/>
          <w:numId w:val="5"/>
        </w:numPr>
      </w:pPr>
      <w:r>
        <w:t>How to indicate the HARQ-ACK resource.</w:t>
      </w:r>
    </w:p>
    <w:p w14:paraId="4B9B433A" w14:textId="774852BA" w:rsidR="008467D0" w:rsidRDefault="008467D0" w:rsidP="00AA30F5">
      <w:pPr>
        <w:pStyle w:val="ListParagraph"/>
        <w:numPr>
          <w:ilvl w:val="0"/>
          <w:numId w:val="5"/>
        </w:numPr>
      </w:pPr>
      <w:r>
        <w:t>Assuming NTA = 0 for initial CB-msg3 transimssion</w:t>
      </w:r>
    </w:p>
    <w:p w14:paraId="63A28A81" w14:textId="77777777" w:rsidR="00531767" w:rsidRDefault="00531767" w:rsidP="00394823"/>
    <w:p w14:paraId="52D4D7F4" w14:textId="055A3044" w:rsidR="00A93852" w:rsidRDefault="008467D0" w:rsidP="00A93852">
      <w:pPr>
        <w:pStyle w:val="Heading1"/>
        <w:numPr>
          <w:ilvl w:val="0"/>
          <w:numId w:val="1"/>
        </w:numPr>
        <w:tabs>
          <w:tab w:val="num" w:pos="720"/>
        </w:tabs>
        <w:ind w:left="720" w:hanging="720"/>
        <w:jc w:val="both"/>
        <w:rPr>
          <w:lang w:val="en-US"/>
        </w:rPr>
      </w:pPr>
      <w:r>
        <w:rPr>
          <w:lang w:val="en-US"/>
        </w:rPr>
        <w:t>HARQ-ACK resource</w:t>
      </w:r>
    </w:p>
    <w:p w14:paraId="766479A0" w14:textId="48D49897" w:rsidR="00781AAE" w:rsidRDefault="00781AAE" w:rsidP="00781AAE">
      <w:pPr>
        <w:rPr>
          <w:lang w:val="en-US"/>
        </w:rPr>
      </w:pPr>
      <w:r>
        <w:rPr>
          <w:lang w:val="en-US"/>
        </w:rPr>
        <w:t>RAN2 made the following agreement:</w:t>
      </w:r>
    </w:p>
    <w:p w14:paraId="4960A4C5" w14:textId="39B27DA9" w:rsidR="00781AAE" w:rsidRPr="00781AAE" w:rsidRDefault="00781AAE" w:rsidP="00781AAE">
      <w:pPr>
        <w:rPr>
          <w:lang w:val="en-US"/>
        </w:rPr>
      </w:pPr>
      <w:r w:rsidRPr="00781AAE">
        <w:rPr>
          <w:noProof/>
          <w:lang w:val="en-US"/>
        </w:rPr>
        <mc:AlternateContent>
          <mc:Choice Requires="wps">
            <w:drawing>
              <wp:inline distT="0" distB="0" distL="0" distR="0" wp14:anchorId="0F8B80E2" wp14:editId="75C3080E">
                <wp:extent cx="6188529" cy="1404620"/>
                <wp:effectExtent l="0" t="0" r="2222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8529" cy="1404620"/>
                        </a:xfrm>
                        <a:prstGeom prst="rect">
                          <a:avLst/>
                        </a:prstGeom>
                        <a:solidFill>
                          <a:srgbClr val="FFFFFF"/>
                        </a:solidFill>
                        <a:ln w="9525">
                          <a:solidFill>
                            <a:srgbClr val="000000"/>
                          </a:solidFill>
                          <a:miter lim="800000"/>
                          <a:headEnd/>
                          <a:tailEnd/>
                        </a:ln>
                      </wps:spPr>
                      <wps:txbx>
                        <w:txbxContent>
                          <w:p w14:paraId="37AE6DAE" w14:textId="196B5155" w:rsidR="00781AAE" w:rsidRPr="00781AAE" w:rsidRDefault="00781AAE" w:rsidP="00AA30F5">
                            <w:pPr>
                              <w:pStyle w:val="Agreement"/>
                              <w:widowControl w:val="0"/>
                              <w:numPr>
                                <w:ilvl w:val="0"/>
                                <w:numId w:val="4"/>
                              </w:numPr>
                              <w:rPr>
                                <w:b w:val="0"/>
                                <w:bCs/>
                              </w:rPr>
                            </w:pPr>
                            <w:r w:rsidRPr="00295DAF">
                              <w:rPr>
                                <w:b w:val="0"/>
                                <w:bCs/>
                              </w:rPr>
                              <w:t xml:space="preserve">Reuse the existing format of HARQ ACK allocation signalling in the DCI. There is 2-bit HARQ ACK resource for eMTC and 4-bit HARQ ACK resource for NB-IoT. Reuse the meaning of DCI field in R1 SPEC. </w:t>
                            </w:r>
                          </w:p>
                        </w:txbxContent>
                      </wps:txbx>
                      <wps:bodyPr rot="0" vert="horz" wrap="square" lIns="91440" tIns="45720" rIns="91440" bIns="45720" anchor="t" anchorCtr="0">
                        <a:spAutoFit/>
                      </wps:bodyPr>
                    </wps:wsp>
                  </a:graphicData>
                </a:graphic>
              </wp:inline>
            </w:drawing>
          </mc:Choice>
          <mc:Fallback>
            <w:pict>
              <v:shapetype w14:anchorId="0F8B80E2" id="_x0000_t202" coordsize="21600,21600" o:spt="202" path="m,l,21600r21600,l21600,xe">
                <v:stroke joinstyle="miter"/>
                <v:path gradientshapeok="t" o:connecttype="rect"/>
              </v:shapetype>
              <v:shape id="Text Box 2" o:spid="_x0000_s1026" type="#_x0000_t202" style="width:48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vfI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">
                <v:textbox style="mso-fit-shape-to-text:t">
                  <w:txbxContent>
                    <w:p w14:paraId="37AE6DAE" w14:textId="196B5155" w:rsidR="00781AAE" w:rsidRPr="00781AAE" w:rsidRDefault="00781AAE" w:rsidP="00AA30F5">
                      <w:pPr>
                        <w:pStyle w:val="Agreement"/>
                        <w:widowControl w:val="0"/>
                        <w:numPr>
                          <w:ilvl w:val="0"/>
                          <w:numId w:val="4"/>
                        </w:numPr>
                        <w:rPr>
                          <w:b w:val="0"/>
                          <w:bCs/>
                        </w:rPr>
                      </w:pPr>
                      <w:r w:rsidRPr="00295DAF">
                        <w:rPr>
                          <w:b w:val="0"/>
                          <w:bCs/>
                        </w:rPr>
                        <w:t xml:space="preserve">Reuse the existing format of HARQ ACK allocation signalling in the DCI. There is 2-bit HARQ ACK resource for </w:t>
                      </w:r>
                      <w:proofErr w:type="spellStart"/>
                      <w:r w:rsidRPr="00295DAF">
                        <w:rPr>
                          <w:b w:val="0"/>
                          <w:bCs/>
                        </w:rPr>
                        <w:t>eMTC</w:t>
                      </w:r>
                      <w:proofErr w:type="spellEnd"/>
                      <w:r w:rsidRPr="00295DAF">
                        <w:rPr>
                          <w:b w:val="0"/>
                          <w:bCs/>
                        </w:rPr>
                        <w:t xml:space="preserve"> and 4-bit HARQ ACK resource for NB-IoT. Reuse the meaning of DCI field in R1 SPEC. </w:t>
                      </w:r>
                    </w:p>
                  </w:txbxContent>
                </v:textbox>
                <w10:anchorlock/>
              </v:shape>
            </w:pict>
          </mc:Fallback>
        </mc:AlternateContent>
      </w:r>
    </w:p>
    <w:p w14:paraId="70B02390" w14:textId="15DCD61B" w:rsidR="008467D0" w:rsidRDefault="003C08E8" w:rsidP="008467D0">
      <w:pPr>
        <w:rPr>
          <w:lang w:val="en-US"/>
        </w:rPr>
      </w:pPr>
      <w:r>
        <w:rPr>
          <w:lang w:val="en-US"/>
        </w:rPr>
        <w:t xml:space="preserve">In 36.213, the HARQ-ACK resource for eMTC is </w:t>
      </w:r>
      <w:r w:rsidR="00781AAE">
        <w:rPr>
          <w:lang w:val="en-US"/>
        </w:rPr>
        <w:t>derived as follows</w:t>
      </w:r>
      <w:r>
        <w:rPr>
          <w:lang w:val="en-US"/>
        </w:rPr>
        <w:t xml:space="preserve"> on the following:</w:t>
      </w:r>
    </w:p>
    <w:p w14:paraId="3B9EC61D" w14:textId="18058AE6" w:rsidR="003C08E8" w:rsidRDefault="004331E9" w:rsidP="008467D0">
      <w:pPr>
        <w:rPr>
          <w:lang w:val="en-US"/>
        </w:rPr>
      </w:pPr>
      <w:r w:rsidRPr="000D0EC4">
        <w:rPr>
          <w:rFonts w:ascii="Arial" w:eastAsia="DengXian" w:hAnsi="Arial" w:cs="Arial"/>
          <w:noProof/>
          <w:color w:val="FF0000"/>
          <w:lang w:eastAsia="zh-CN"/>
        </w:rPr>
        <w:lastRenderedPageBreak/>
        <w:drawing>
          <wp:inline distT="0" distB="0" distL="0" distR="0" wp14:anchorId="71CE4F9D" wp14:editId="2AF51D7E">
            <wp:extent cx="3258589" cy="540901"/>
            <wp:effectExtent l="19050" t="19050" r="18415" b="12065"/>
            <wp:docPr id="2090591667"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591667" name="Picture 1" descr="A black text on a white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02404" cy="548174"/>
                    </a:xfrm>
                    <a:prstGeom prst="rect">
                      <a:avLst/>
                    </a:prstGeom>
                    <a:noFill/>
                    <a:ln>
                      <a:solidFill>
                        <a:schemeClr val="accent1"/>
                      </a:solidFill>
                    </a:ln>
                  </pic:spPr>
                </pic:pic>
              </a:graphicData>
            </a:graphic>
          </wp:inline>
        </w:drawing>
      </w:r>
    </w:p>
    <w:p w14:paraId="34626210" w14:textId="3BAB5689" w:rsidR="003C08E8" w:rsidRDefault="004331E9" w:rsidP="008467D0">
      <w:pPr>
        <w:rPr>
          <w:lang w:val="en-US"/>
        </w:rPr>
      </w:pPr>
      <w:r>
        <w:rPr>
          <w:lang w:val="en-US"/>
        </w:rPr>
        <w:t xml:space="preserve">The value of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ARO</m:t>
            </m:r>
          </m:sub>
        </m:sSub>
      </m:oMath>
      <w:r>
        <w:rPr>
          <w:lang w:val="en-US"/>
        </w:rPr>
        <w:t xml:space="preserve"> can take 4 values, which are indicated with 2 bits in DCI. However, unlike in NB-IoT, the resource used for transmission does not depend only on this value, but also on </w:t>
      </w:r>
      <w:r w:rsidR="00A70CC1">
        <w:rPr>
          <w:lang w:val="en-US"/>
        </w:rPr>
        <w:t>other parameters:</w:t>
      </w:r>
    </w:p>
    <w:p w14:paraId="6A59103E" w14:textId="0D79BD6B" w:rsidR="00A70CC1" w:rsidRDefault="00000000" w:rsidP="00AA30F5">
      <w:pPr>
        <w:pStyle w:val="ListParagraph"/>
        <w:numPr>
          <w:ilvl w:val="0"/>
          <w:numId w:val="5"/>
        </w:numPr>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ECCE,q</m:t>
            </m:r>
          </m:sub>
        </m:sSub>
      </m:oMath>
      <w:r w:rsidR="00A70CC1">
        <w:rPr>
          <w:lang w:val="en-US"/>
        </w:rPr>
        <w:t xml:space="preserve"> </w:t>
      </w:r>
      <w:r w:rsidR="00F835C0">
        <w:rPr>
          <w:lang w:val="en-US"/>
        </w:rPr>
        <w:t>refers to the first CCE used for transmission of the MPDCCH. Therefore, different UEs using different CCEs would have different PUCCH resource.</w:t>
      </w:r>
    </w:p>
    <w:p w14:paraId="3314BC09" w14:textId="2AEAD851" w:rsidR="00F835C0" w:rsidRDefault="00000000" w:rsidP="00AA30F5">
      <w:pPr>
        <w:pStyle w:val="ListParagraph"/>
        <w:numPr>
          <w:ilvl w:val="0"/>
          <w:numId w:val="5"/>
        </w:numPr>
        <w:rPr>
          <w:lang w:val="en-US"/>
        </w:rPr>
      </w:pP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PUCCH,q</m:t>
            </m:r>
          </m:sub>
          <m:sup>
            <m:d>
              <m:dPr>
                <m:ctrlPr>
                  <w:rPr>
                    <w:rFonts w:ascii="Cambria Math" w:hAnsi="Cambria Math"/>
                    <w:i/>
                    <w:lang w:val="en-US"/>
                  </w:rPr>
                </m:ctrlPr>
              </m:dPr>
              <m:e>
                <m:r>
                  <w:rPr>
                    <w:rFonts w:ascii="Cambria Math" w:hAnsi="Cambria Math"/>
                    <w:lang w:val="en-US"/>
                  </w:rPr>
                  <m:t>m1</m:t>
                </m:r>
              </m:e>
            </m:d>
          </m:sup>
        </m:sSubSup>
      </m:oMath>
      <w:r w:rsidR="009F3675">
        <w:rPr>
          <w:lang w:val="en-US"/>
        </w:rPr>
        <w:t xml:space="preserve"> is a parameter that is semi-statically configured.</w:t>
      </w:r>
    </w:p>
    <w:p w14:paraId="61220B14" w14:textId="7E171C63" w:rsidR="009F3675" w:rsidRDefault="009F3675" w:rsidP="009F3675">
      <w:pPr>
        <w:rPr>
          <w:lang w:val="en-US"/>
        </w:rPr>
      </w:pPr>
      <w:r>
        <w:rPr>
          <w:lang w:val="en-US"/>
        </w:rPr>
        <w:t xml:space="preserve">One of the issues with </w:t>
      </w:r>
      <w:r w:rsidR="004F0A58">
        <w:rPr>
          <w:lang w:val="en-US"/>
        </w:rPr>
        <w:t>the above equation is that, when applying it to msg4 (which is a broadcast message for CB-msg3), would lead</w:t>
      </w:r>
      <w:r w:rsidR="00F42AD4">
        <w:rPr>
          <w:lang w:val="en-US"/>
        </w:rPr>
        <w:t xml:space="preserve"> to having only 4 HARQ-ACK resources (since both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ECCE,q</m:t>
            </m:r>
          </m:sub>
        </m:sSub>
      </m:oMath>
      <w:r w:rsidR="00F42AD4">
        <w:rPr>
          <w:lang w:val="en-US"/>
        </w:rPr>
        <w:t xml:space="preserve">  and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PUCCH,q</m:t>
            </m:r>
          </m:sub>
          <m:sup>
            <m:d>
              <m:dPr>
                <m:ctrlPr>
                  <w:rPr>
                    <w:rFonts w:ascii="Cambria Math" w:hAnsi="Cambria Math"/>
                    <w:i/>
                    <w:lang w:val="en-US"/>
                  </w:rPr>
                </m:ctrlPr>
              </m:dPr>
              <m:e>
                <m:r>
                  <w:rPr>
                    <w:rFonts w:ascii="Cambria Math" w:hAnsi="Cambria Math"/>
                    <w:lang w:val="en-US"/>
                  </w:rPr>
                  <m:t>m1</m:t>
                </m:r>
              </m:e>
            </m:d>
          </m:sup>
        </m:sSubSup>
      </m:oMath>
      <w:r w:rsidR="00F42AD4">
        <w:rPr>
          <w:lang w:val="en-US"/>
        </w:rPr>
        <w:t xml:space="preserve"> would be common across all UEs)</w:t>
      </w:r>
      <w:r w:rsidR="00AF7AB3">
        <w:rPr>
          <w:lang w:val="en-US"/>
        </w:rPr>
        <w:t xml:space="preserve"> given by the 4 different </w:t>
      </w:r>
      <m:oMath>
        <m:sSub>
          <m:sSubPr>
            <m:ctrlPr>
              <w:rPr>
                <w:rFonts w:ascii="Cambria Math" w:hAnsi="Cambria Math"/>
                <w:i/>
                <w:lang w:val="en-US"/>
              </w:rPr>
            </m:ctrlPr>
          </m:sSubPr>
          <m:e>
            <m:r>
              <m:rPr>
                <m:sty m:val="p"/>
              </m:rPr>
              <w:rPr>
                <w:rFonts w:ascii="Cambria Math" w:hAnsi="Cambria Math"/>
                <w:lang w:val="en-US"/>
              </w:rPr>
              <m:t>Δ</m:t>
            </m:r>
            <m:ctrlPr>
              <w:rPr>
                <w:rFonts w:ascii="Cambria Math" w:hAnsi="Cambria Math"/>
                <w:lang w:val="en-US"/>
              </w:rPr>
            </m:ctrlPr>
          </m:e>
          <m:sub>
            <m:r>
              <w:rPr>
                <w:rFonts w:ascii="Cambria Math" w:hAnsi="Cambria Math"/>
                <w:lang w:val="en-US"/>
              </w:rPr>
              <m:t>ARO</m:t>
            </m:r>
          </m:sub>
        </m:sSub>
      </m:oMath>
      <w:r w:rsidR="00AF7AB3">
        <w:rPr>
          <w:lang w:val="en-US"/>
        </w:rPr>
        <w:t>.</w:t>
      </w:r>
    </w:p>
    <w:p w14:paraId="2B5F776F" w14:textId="48AAA0EF" w:rsidR="00130731" w:rsidRPr="00130731" w:rsidRDefault="00130731" w:rsidP="00130731">
      <w:pPr>
        <w:spacing w:beforeLines="100" w:before="240"/>
        <w:rPr>
          <w:lang w:val="en-US"/>
        </w:rPr>
      </w:pPr>
      <w:r w:rsidRPr="00130731">
        <w:rPr>
          <w:lang w:val="en-US"/>
        </w:rPr>
        <w:t xml:space="preserve">For NB-IoT the maximum number of HARQ-ACK </w:t>
      </w:r>
      <w:r w:rsidR="00063644">
        <w:rPr>
          <w:lang w:val="en-US"/>
        </w:rPr>
        <w:t xml:space="preserve">resources </w:t>
      </w:r>
      <w:r w:rsidRPr="00130731">
        <w:rPr>
          <w:lang w:val="en-US"/>
        </w:rPr>
        <w:t xml:space="preserve">would be 16. </w:t>
      </w:r>
    </w:p>
    <w:p w14:paraId="19EE5B87" w14:textId="7500A2DD" w:rsidR="00063644" w:rsidRDefault="00063644" w:rsidP="00063644">
      <w:pPr>
        <w:rPr>
          <w:b/>
          <w:bCs/>
          <w:lang w:val="en-US"/>
        </w:rPr>
      </w:pPr>
      <w:r w:rsidRPr="00AF7AB3">
        <w:rPr>
          <w:b/>
          <w:bCs/>
          <w:u w:val="single"/>
          <w:lang w:val="en-US"/>
        </w:rPr>
        <w:t>Observation</w:t>
      </w:r>
      <w:r w:rsidR="00BB62D9">
        <w:rPr>
          <w:b/>
          <w:bCs/>
          <w:u w:val="single"/>
          <w:lang w:val="en-US"/>
        </w:rPr>
        <w:t xml:space="preserve"> 1</w:t>
      </w:r>
      <w:r w:rsidRPr="00AF7AB3">
        <w:rPr>
          <w:b/>
          <w:bCs/>
          <w:u w:val="single"/>
          <w:lang w:val="en-US"/>
        </w:rPr>
        <w:t>:</w:t>
      </w:r>
      <w:r>
        <w:rPr>
          <w:b/>
          <w:bCs/>
          <w:lang w:val="en-US"/>
        </w:rPr>
        <w:t xml:space="preserve"> In eMTC, using 2 bits for</w:t>
      </w:r>
      <w:r w:rsidRPr="00E86318">
        <w:rPr>
          <w:b/>
          <w:bCs/>
          <w:lang w:val="en-US"/>
        </w:rPr>
        <w:t xml:space="preserve">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ARO</m:t>
            </m:r>
          </m:sub>
        </m:sSub>
      </m:oMath>
      <w:r>
        <w:rPr>
          <w:b/>
          <w:bCs/>
          <w:lang w:val="en-US"/>
        </w:rPr>
        <w:t xml:space="preserve"> in Msg4 leads to having only 4 HARQ-ACK resources across all UEs in the msg4 response. In NB-IoT</w:t>
      </w:r>
      <w:r w:rsidR="00517DE5">
        <w:rPr>
          <w:b/>
          <w:bCs/>
          <w:lang w:val="en-US"/>
        </w:rPr>
        <w:t>, the total number of HARQ-ACK resources is 16.</w:t>
      </w:r>
    </w:p>
    <w:p w14:paraId="7F6404CC" w14:textId="465B2B34" w:rsidR="00803877" w:rsidRDefault="000F5747" w:rsidP="00803877">
      <w:pPr>
        <w:rPr>
          <w:lang w:val="en-US"/>
        </w:rPr>
      </w:pPr>
      <w:r w:rsidRPr="000F5747">
        <w:rPr>
          <w:lang w:val="en-US"/>
        </w:rPr>
        <w:t xml:space="preserve">In our </w:t>
      </w:r>
      <w:r>
        <w:rPr>
          <w:lang w:val="en-US"/>
        </w:rPr>
        <w:t xml:space="preserve">view, having 4 HARQ-ACK resources </w:t>
      </w:r>
      <w:r w:rsidR="00816091">
        <w:rPr>
          <w:lang w:val="en-US"/>
        </w:rPr>
        <w:t>in eMTC is insufficient, and propose to increase the number of bits to e.g. 16 to allow for more feedback.</w:t>
      </w:r>
      <w:r w:rsidR="00450E8A">
        <w:rPr>
          <w:lang w:val="en-US"/>
        </w:rPr>
        <w:t xml:space="preserve"> In the case of NB-IoT</w:t>
      </w:r>
      <w:r w:rsidR="00102CFA">
        <w:rPr>
          <w:lang w:val="en-US"/>
        </w:rPr>
        <w:t xml:space="preserve"> </w:t>
      </w:r>
      <w:r w:rsidR="00606B46">
        <w:rPr>
          <w:lang w:val="en-US"/>
        </w:rPr>
        <w:t xml:space="preserve">16 HARQ-ACK resources may suffice, but RAN2 can decide to </w:t>
      </w:r>
      <w:r w:rsidR="00102CFA">
        <w:rPr>
          <w:lang w:val="en-US"/>
        </w:rPr>
        <w:t>increase if needed.</w:t>
      </w:r>
    </w:p>
    <w:p w14:paraId="20F2CA06" w14:textId="4B3B532F" w:rsidR="00102CFA" w:rsidRDefault="00102CFA" w:rsidP="00803877">
      <w:pPr>
        <w:rPr>
          <w:b/>
          <w:bCs/>
          <w:lang w:val="en-US"/>
        </w:rPr>
      </w:pPr>
      <w:r w:rsidRPr="00102CFA">
        <w:rPr>
          <w:b/>
          <w:bCs/>
          <w:u w:val="single"/>
          <w:lang w:val="en-US"/>
        </w:rPr>
        <w:t>Proposal</w:t>
      </w:r>
      <w:r w:rsidR="00BB62D9">
        <w:rPr>
          <w:b/>
          <w:bCs/>
          <w:u w:val="single"/>
          <w:lang w:val="en-US"/>
        </w:rPr>
        <w:t xml:space="preserve"> 1</w:t>
      </w:r>
      <w:r w:rsidRPr="00102CFA">
        <w:rPr>
          <w:b/>
          <w:bCs/>
          <w:u w:val="single"/>
          <w:lang w:val="en-US"/>
        </w:rPr>
        <w:t>:</w:t>
      </w:r>
      <w:r w:rsidR="00BB62D9" w:rsidRPr="00BB62D9">
        <w:rPr>
          <w:b/>
          <w:bCs/>
          <w:lang w:val="en-US"/>
        </w:rPr>
        <w:t xml:space="preserve"> </w:t>
      </w:r>
      <w:r>
        <w:rPr>
          <w:b/>
          <w:bCs/>
          <w:lang w:val="en-US"/>
        </w:rPr>
        <w:t>RAN1 recommends</w:t>
      </w:r>
      <w:r w:rsidR="00237BAF">
        <w:rPr>
          <w:b/>
          <w:bCs/>
          <w:lang w:val="en-US"/>
        </w:rPr>
        <w:t xml:space="preserve"> </w:t>
      </w:r>
      <w:r w:rsidR="00BB62D9">
        <w:rPr>
          <w:b/>
          <w:bCs/>
          <w:lang w:val="en-US"/>
        </w:rPr>
        <w:t>increasing</w:t>
      </w:r>
      <w:r w:rsidR="00237BAF">
        <w:rPr>
          <w:b/>
          <w:bCs/>
          <w:lang w:val="en-US"/>
        </w:rPr>
        <w:t xml:space="preserve"> the “HARQ ACK resource</w:t>
      </w:r>
      <w:r w:rsidR="00397B04">
        <w:rPr>
          <w:b/>
          <w:bCs/>
          <w:lang w:val="en-US"/>
        </w:rPr>
        <w:t xml:space="preserve"> offset” in eMTC from 2 bits to 4 bits.</w:t>
      </w:r>
      <w:r w:rsidR="005A2442">
        <w:rPr>
          <w:b/>
          <w:bCs/>
          <w:lang w:val="en-US"/>
        </w:rPr>
        <w:t xml:space="preserve"> </w:t>
      </w:r>
    </w:p>
    <w:p w14:paraId="79328F88" w14:textId="3BF8C82F" w:rsidR="005A2442" w:rsidRPr="005A2442" w:rsidRDefault="005A2442" w:rsidP="00AA30F5">
      <w:pPr>
        <w:pStyle w:val="ListParagraph"/>
        <w:numPr>
          <w:ilvl w:val="0"/>
          <w:numId w:val="5"/>
        </w:numPr>
        <w:rPr>
          <w:b/>
          <w:bCs/>
        </w:rPr>
      </w:pPr>
      <w:r>
        <w:rPr>
          <w:b/>
          <w:bCs/>
        </w:rPr>
        <w:t>This value may be further increased by RAN2 (also the field “HARQ A</w:t>
      </w:r>
      <w:r w:rsidR="00B74CFE">
        <w:rPr>
          <w:b/>
          <w:bCs/>
        </w:rPr>
        <w:t>CK</w:t>
      </w:r>
      <w:r>
        <w:rPr>
          <w:b/>
          <w:bCs/>
        </w:rPr>
        <w:t xml:space="preserve"> resource”</w:t>
      </w:r>
      <w:r w:rsidR="00B74CFE">
        <w:rPr>
          <w:b/>
          <w:bCs/>
        </w:rPr>
        <w:t>) if RAN2 decides that having 16 HARQ-ACK resources are insufficient.</w:t>
      </w:r>
    </w:p>
    <w:p w14:paraId="64F68E3A" w14:textId="77777777" w:rsidR="00517DE5" w:rsidRDefault="00517DE5" w:rsidP="00803877">
      <w:pPr>
        <w:rPr>
          <w:b/>
          <w:bCs/>
          <w:lang w:val="en-US"/>
        </w:rPr>
      </w:pPr>
    </w:p>
    <w:p w14:paraId="2E4E1681" w14:textId="77777777" w:rsidR="00BB62D9" w:rsidRDefault="00BB62D9" w:rsidP="00BB62D9">
      <w:pPr>
        <w:pStyle w:val="Heading1"/>
        <w:numPr>
          <w:ilvl w:val="0"/>
          <w:numId w:val="1"/>
        </w:numPr>
        <w:tabs>
          <w:tab w:val="num" w:pos="720"/>
        </w:tabs>
        <w:ind w:left="720" w:hanging="720"/>
        <w:jc w:val="both"/>
        <w:rPr>
          <w:lang w:val="en-US"/>
        </w:rPr>
      </w:pPr>
      <w:r>
        <w:rPr>
          <w:lang w:val="en-US"/>
        </w:rPr>
        <w:t>HARQ-ACK resource</w:t>
      </w:r>
    </w:p>
    <w:p w14:paraId="648E096F" w14:textId="285110FF" w:rsidR="00517DE5" w:rsidRDefault="00781AAE" w:rsidP="00803877">
      <w:pPr>
        <w:rPr>
          <w:lang w:val="en-US"/>
        </w:rPr>
      </w:pPr>
      <w:r>
        <w:rPr>
          <w:lang w:val="en-US"/>
        </w:rPr>
        <w:t>RAN2 included in their LS the following agreement:</w:t>
      </w:r>
    </w:p>
    <w:p w14:paraId="00FA6013" w14:textId="6F1AEC5E" w:rsidR="00781AAE" w:rsidRDefault="00815FBE" w:rsidP="00803877">
      <w:pPr>
        <w:rPr>
          <w:lang w:val="en-US"/>
        </w:rPr>
      </w:pPr>
      <w:r w:rsidRPr="00815FBE">
        <w:rPr>
          <w:noProof/>
          <w:lang w:val="en-US"/>
        </w:rPr>
        <mc:AlternateContent>
          <mc:Choice Requires="wps">
            <w:drawing>
              <wp:inline distT="0" distB="0" distL="0" distR="0" wp14:anchorId="76EAD0D9" wp14:editId="5C5F4739">
                <wp:extent cx="5519057" cy="1404620"/>
                <wp:effectExtent l="0" t="0" r="24765" b="26670"/>
                <wp:docPr id="19217284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9057" cy="1404620"/>
                        </a:xfrm>
                        <a:prstGeom prst="rect">
                          <a:avLst/>
                        </a:prstGeom>
                        <a:solidFill>
                          <a:srgbClr val="FFFFFF"/>
                        </a:solidFill>
                        <a:ln w="9525">
                          <a:solidFill>
                            <a:srgbClr val="000000"/>
                          </a:solidFill>
                          <a:miter lim="800000"/>
                          <a:headEnd/>
                          <a:tailEnd/>
                        </a:ln>
                      </wps:spPr>
                      <wps:txbx>
                        <w:txbxContent>
                          <w:p w14:paraId="1AB1D061" w14:textId="0070B452" w:rsidR="00815FBE" w:rsidRPr="00815FBE" w:rsidRDefault="00815FBE" w:rsidP="00AA30F5">
                            <w:pPr>
                              <w:pStyle w:val="Agreement"/>
                              <w:widowControl w:val="0"/>
                              <w:numPr>
                                <w:ilvl w:val="0"/>
                                <w:numId w:val="4"/>
                              </w:numPr>
                              <w:rPr>
                                <w:b w:val="0"/>
                                <w:bCs/>
                              </w:rPr>
                            </w:pPr>
                            <w:r w:rsidRPr="00295DAF">
                              <w:rPr>
                                <w:b w:val="0"/>
                                <w:bCs/>
                              </w:rPr>
                              <w:t xml:space="preserve">RAN2 assumes that NTA=0 for initial CB-msg3 transmission. </w:t>
                            </w:r>
                          </w:p>
                        </w:txbxContent>
                      </wps:txbx>
                      <wps:bodyPr rot="0" vert="horz" wrap="square" lIns="91440" tIns="45720" rIns="91440" bIns="45720" anchor="t" anchorCtr="0">
                        <a:spAutoFit/>
                      </wps:bodyPr>
                    </wps:wsp>
                  </a:graphicData>
                </a:graphic>
              </wp:inline>
            </w:drawing>
          </mc:Choice>
          <mc:Fallback>
            <w:pict>
              <v:shape w14:anchorId="76EAD0D9" id="_x0000_s1027" type="#_x0000_t202" style="width:434.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">
                <v:textbox style="mso-fit-shape-to-text:t">
                  <w:txbxContent>
                    <w:p w14:paraId="1AB1D061" w14:textId="0070B452" w:rsidR="00815FBE" w:rsidRPr="00815FBE" w:rsidRDefault="00815FBE" w:rsidP="00AA30F5">
                      <w:pPr>
                        <w:pStyle w:val="Agreement"/>
                        <w:widowControl w:val="0"/>
                        <w:numPr>
                          <w:ilvl w:val="0"/>
                          <w:numId w:val="4"/>
                        </w:numPr>
                        <w:rPr>
                          <w:b w:val="0"/>
                          <w:bCs/>
                        </w:rPr>
                      </w:pPr>
                      <w:r w:rsidRPr="00295DAF">
                        <w:rPr>
                          <w:b w:val="0"/>
                          <w:bCs/>
                        </w:rPr>
                        <w:t xml:space="preserve">RAN2 assumes that NTA=0 for initial CB-msg3 transmission. </w:t>
                      </w:r>
                    </w:p>
                  </w:txbxContent>
                </v:textbox>
                <w10:anchorlock/>
              </v:shape>
            </w:pict>
          </mc:Fallback>
        </mc:AlternateContent>
      </w:r>
    </w:p>
    <w:p w14:paraId="0395AE4F" w14:textId="49678C90" w:rsidR="00815FBE" w:rsidRDefault="00815FBE" w:rsidP="00803877">
      <w:pPr>
        <w:rPr>
          <w:lang w:val="en-US"/>
        </w:rPr>
      </w:pPr>
      <w:r>
        <w:rPr>
          <w:lang w:val="en-US"/>
        </w:rPr>
        <w:t>In our view, this agreement may be problematic for the following legacy reasons (arising from Rel-17):</w:t>
      </w:r>
    </w:p>
    <w:p w14:paraId="1DCD921B" w14:textId="7FA761F9" w:rsidR="00815FBE" w:rsidRDefault="00D7471F" w:rsidP="00AA30F5">
      <w:pPr>
        <w:pStyle w:val="ListParagraph"/>
        <w:numPr>
          <w:ilvl w:val="0"/>
          <w:numId w:val="5"/>
        </w:numPr>
        <w:rPr>
          <w:lang w:val="en-US"/>
        </w:rPr>
      </w:pPr>
      <w:r>
        <w:rPr>
          <w:lang w:val="en-US"/>
        </w:rPr>
        <w:t xml:space="preserve">In NTN, the timing error for PRACH transmission may be negative due to position inaccuracy errors. </w:t>
      </w:r>
      <w:r w:rsidR="00815FBE">
        <w:rPr>
          <w:lang w:val="en-US"/>
        </w:rPr>
        <w:t>During Rel-17 NR NTN</w:t>
      </w:r>
      <w:r w:rsidR="00AA2BA9">
        <w:rPr>
          <w:lang w:val="en-US"/>
        </w:rPr>
        <w:t>, it was decided that the RAR</w:t>
      </w:r>
      <w:r w:rsidR="00967163">
        <w:rPr>
          <w:lang w:val="en-US"/>
        </w:rPr>
        <w:t xml:space="preserve"> can only </w:t>
      </w:r>
      <w:r w:rsidR="006145D0">
        <w:rPr>
          <w:lang w:val="en-US"/>
        </w:rPr>
        <w:t>indicate positive timing advances.</w:t>
      </w:r>
    </w:p>
    <w:p w14:paraId="1EA071CD" w14:textId="5CEE5ACD" w:rsidR="006145D0" w:rsidRDefault="00184872" w:rsidP="00AA30F5">
      <w:pPr>
        <w:pStyle w:val="ListParagraph"/>
        <w:numPr>
          <w:ilvl w:val="0"/>
          <w:numId w:val="5"/>
        </w:numPr>
        <w:rPr>
          <w:lang w:val="en-US"/>
        </w:rPr>
      </w:pPr>
      <w:r>
        <w:rPr>
          <w:lang w:val="en-US"/>
        </w:rPr>
        <w:t>This decision was propagated</w:t>
      </w:r>
      <w:r w:rsidR="0045633E">
        <w:rPr>
          <w:lang w:val="en-US"/>
        </w:rPr>
        <w:t xml:space="preserve"> to Rel-17 IOT NTN</w:t>
      </w:r>
      <w:r w:rsidR="007C09DC">
        <w:rPr>
          <w:lang w:val="en-US"/>
        </w:rPr>
        <w:t>.</w:t>
      </w:r>
    </w:p>
    <w:p w14:paraId="09E72371" w14:textId="0CAD94DD" w:rsidR="007C09DC" w:rsidRDefault="004E4BF3" w:rsidP="00AA30F5">
      <w:pPr>
        <w:pStyle w:val="ListParagraph"/>
        <w:numPr>
          <w:ilvl w:val="0"/>
          <w:numId w:val="5"/>
        </w:numPr>
        <w:rPr>
          <w:lang w:val="en-US"/>
        </w:rPr>
      </w:pPr>
      <w:r>
        <w:rPr>
          <w:lang w:val="en-US"/>
        </w:rPr>
        <w:t>Due to this decision, it is a common practice for the base station to add an artificial delay (e.g. in common TA) such that the timing errors</w:t>
      </w:r>
      <w:r w:rsidR="005570D4">
        <w:rPr>
          <w:lang w:val="en-US"/>
        </w:rPr>
        <w:t xml:space="preserve"> are always positive (i.e., the errors would be between [0, 2T] instead of [-</w:t>
      </w:r>
      <w:proofErr w:type="gramStart"/>
      <w:r w:rsidR="005570D4">
        <w:rPr>
          <w:lang w:val="en-US"/>
        </w:rPr>
        <w:t>T,T</w:t>
      </w:r>
      <w:proofErr w:type="gramEnd"/>
      <w:r w:rsidR="005570D4">
        <w:rPr>
          <w:lang w:val="en-US"/>
        </w:rPr>
        <w:t>]). For the user with zero errors, the timing advance would be T. After RAR reception</w:t>
      </w:r>
      <w:r w:rsidR="0005206E">
        <w:rPr>
          <w:lang w:val="en-US"/>
        </w:rPr>
        <w:t>, the average timing advance would be T.</w:t>
      </w:r>
    </w:p>
    <w:p w14:paraId="41CC7DAC" w14:textId="5C707CE2" w:rsidR="005570D4" w:rsidRDefault="0005206E" w:rsidP="00AA30F5">
      <w:pPr>
        <w:pStyle w:val="ListParagraph"/>
        <w:numPr>
          <w:ilvl w:val="0"/>
          <w:numId w:val="5"/>
        </w:numPr>
        <w:rPr>
          <w:lang w:val="en-US"/>
        </w:rPr>
      </w:pPr>
      <w:r>
        <w:rPr>
          <w:lang w:val="en-US"/>
        </w:rPr>
        <w:t>If CB-msg3 is transmitted with a TA of 0, there will be an average misalignment of T between the CB-msg3 transmissions and the unicast (N)PUSCH transmissions. This may create issues such as FFT window placement.</w:t>
      </w:r>
    </w:p>
    <w:p w14:paraId="1F392516" w14:textId="5D490594" w:rsidR="009B71AF" w:rsidRPr="00784ED1" w:rsidRDefault="009B71AF" w:rsidP="009B71AF">
      <w:pPr>
        <w:rPr>
          <w:b/>
          <w:bCs/>
          <w:lang w:val="en-US"/>
        </w:rPr>
      </w:pPr>
      <w:r w:rsidRPr="009B71AF">
        <w:rPr>
          <w:b/>
          <w:bCs/>
          <w:u w:val="single"/>
          <w:lang w:val="en-US"/>
        </w:rPr>
        <w:t>Observation 2:</w:t>
      </w:r>
      <w:r w:rsidR="00784ED1">
        <w:rPr>
          <w:b/>
          <w:bCs/>
          <w:lang w:val="en-US"/>
        </w:rPr>
        <w:t xml:space="preserve"> NTN networks may operate</w:t>
      </w:r>
      <w:r w:rsidR="003138E0">
        <w:rPr>
          <w:b/>
          <w:bCs/>
          <w:lang w:val="en-US"/>
        </w:rPr>
        <w:t xml:space="preserve"> with an artificial delay in the uplink (at the ULSRP) to accommodate negative timing errors in (N)PRACH.</w:t>
      </w:r>
    </w:p>
    <w:p w14:paraId="0F44B9D0" w14:textId="73C6B183" w:rsidR="0005206E" w:rsidRDefault="0005206E" w:rsidP="0005206E">
      <w:pPr>
        <w:rPr>
          <w:lang w:val="en-US"/>
        </w:rPr>
      </w:pPr>
      <w:r>
        <w:rPr>
          <w:lang w:val="en-US"/>
        </w:rPr>
        <w:t>We would propose to configure</w:t>
      </w:r>
      <w:r w:rsidR="009A4767">
        <w:rPr>
          <w:lang w:val="en-US"/>
        </w:rPr>
        <w:t xml:space="preserve"> 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oMath>
      <w:r w:rsidR="009A4767">
        <w:rPr>
          <w:lang w:val="en-US"/>
        </w:rPr>
        <w:t xml:space="preserve"> </w:t>
      </w:r>
      <w:r w:rsidR="00ED53D8">
        <w:rPr>
          <w:lang w:val="en-US"/>
        </w:rPr>
        <w:t>value for CB-msg3 such that the timing offset between CB-msg3 and unicast (N)PUSCH is minimized.</w:t>
      </w:r>
    </w:p>
    <w:p w14:paraId="6617EBA3" w14:textId="3DD16A8B" w:rsidR="00ED53D8" w:rsidRPr="005A2442" w:rsidRDefault="00ED53D8" w:rsidP="00493C14">
      <w:pPr>
        <w:rPr>
          <w:b/>
          <w:bCs/>
        </w:rPr>
      </w:pPr>
      <w:r w:rsidRPr="00102CFA">
        <w:rPr>
          <w:b/>
          <w:bCs/>
          <w:u w:val="single"/>
          <w:lang w:val="en-US"/>
        </w:rPr>
        <w:t>Proposal</w:t>
      </w:r>
      <w:r>
        <w:rPr>
          <w:b/>
          <w:bCs/>
          <w:u w:val="single"/>
          <w:lang w:val="en-US"/>
        </w:rPr>
        <w:t xml:space="preserve"> 2</w:t>
      </w:r>
      <w:r w:rsidRPr="00102CFA">
        <w:rPr>
          <w:b/>
          <w:bCs/>
          <w:u w:val="single"/>
          <w:lang w:val="en-US"/>
        </w:rPr>
        <w:t>:</w:t>
      </w:r>
      <w:r w:rsidRPr="00BB62D9">
        <w:rPr>
          <w:b/>
          <w:bCs/>
          <w:lang w:val="en-US"/>
        </w:rPr>
        <w:t xml:space="preserve"> </w:t>
      </w:r>
      <w:r>
        <w:rPr>
          <w:b/>
          <w:bCs/>
          <w:lang w:val="en-US"/>
        </w:rPr>
        <w:t xml:space="preserve">RAN1 recommends </w:t>
      </w:r>
      <w:r w:rsidR="00493C14">
        <w:rPr>
          <w:b/>
          <w:bCs/>
          <w:lang w:val="en-US"/>
        </w:rPr>
        <w:t>configuring in system information the NTA for initial CB-msg3 transmission</w:t>
      </w:r>
      <w:r w:rsidR="00AA30F5">
        <w:rPr>
          <w:b/>
          <w:bCs/>
          <w:lang w:val="en-US"/>
        </w:rPr>
        <w:t>.</w:t>
      </w:r>
    </w:p>
    <w:p w14:paraId="75548B02" w14:textId="77777777" w:rsidR="00ED53D8" w:rsidRDefault="00ED53D8" w:rsidP="0005206E"/>
    <w:p w14:paraId="16F413F7" w14:textId="395A30EE" w:rsidR="00EC49C9" w:rsidRDefault="00EC49C9" w:rsidP="00EC49C9">
      <w:pPr>
        <w:pStyle w:val="Heading1"/>
        <w:numPr>
          <w:ilvl w:val="0"/>
          <w:numId w:val="1"/>
        </w:numPr>
        <w:tabs>
          <w:tab w:val="num" w:pos="720"/>
        </w:tabs>
        <w:ind w:left="720" w:hanging="720"/>
        <w:jc w:val="both"/>
        <w:rPr>
          <w:lang w:val="en-US"/>
        </w:rPr>
      </w:pPr>
      <w:r>
        <w:rPr>
          <w:lang w:val="en-US"/>
        </w:rPr>
        <w:lastRenderedPageBreak/>
        <w:t>Summary</w:t>
      </w:r>
    </w:p>
    <w:p w14:paraId="1B792C31" w14:textId="7EEDA112" w:rsidR="00EC49C9" w:rsidRDefault="00EC49C9" w:rsidP="00EC49C9">
      <w:pPr>
        <w:rPr>
          <w:lang w:val="en-US"/>
        </w:rPr>
      </w:pPr>
      <w:r>
        <w:rPr>
          <w:lang w:val="en-US"/>
        </w:rPr>
        <w:t xml:space="preserve">In this contribution we proposed our views on the RAN2 LS in [1]. We made the following </w:t>
      </w:r>
      <w:r w:rsidR="00AA30F5">
        <w:rPr>
          <w:lang w:val="en-US"/>
        </w:rPr>
        <w:t>observations and proposals:</w:t>
      </w:r>
    </w:p>
    <w:p w14:paraId="6864B782" w14:textId="77777777" w:rsidR="00AA30F5" w:rsidRDefault="00AA30F5" w:rsidP="00AA30F5">
      <w:pPr>
        <w:rPr>
          <w:b/>
          <w:bCs/>
          <w:lang w:val="en-US"/>
        </w:rPr>
      </w:pPr>
      <w:r w:rsidRPr="00AF7AB3">
        <w:rPr>
          <w:b/>
          <w:bCs/>
          <w:u w:val="single"/>
          <w:lang w:val="en-US"/>
        </w:rPr>
        <w:t>Observation</w:t>
      </w:r>
      <w:r>
        <w:rPr>
          <w:b/>
          <w:bCs/>
          <w:u w:val="single"/>
          <w:lang w:val="en-US"/>
        </w:rPr>
        <w:t xml:space="preserve"> 1</w:t>
      </w:r>
      <w:r w:rsidRPr="00AF7AB3">
        <w:rPr>
          <w:b/>
          <w:bCs/>
          <w:u w:val="single"/>
          <w:lang w:val="en-US"/>
        </w:rPr>
        <w:t>:</w:t>
      </w:r>
      <w:r>
        <w:rPr>
          <w:b/>
          <w:bCs/>
          <w:lang w:val="en-US"/>
        </w:rPr>
        <w:t xml:space="preserve"> In eMTC, using 2 bits for</w:t>
      </w:r>
      <w:r w:rsidRPr="00E86318">
        <w:rPr>
          <w:b/>
          <w:bCs/>
          <w:lang w:val="en-US"/>
        </w:rPr>
        <w:t xml:space="preserve"> </w:t>
      </w:r>
      <m:oMath>
        <m:sSub>
          <m:sSubPr>
            <m:ctrlPr>
              <w:rPr>
                <w:rFonts w:ascii="Cambria Math" w:hAnsi="Cambria Math"/>
                <w:b/>
                <w:bCs/>
                <w:i/>
                <w:lang w:val="en-US"/>
              </w:rPr>
            </m:ctrlPr>
          </m:sSubPr>
          <m:e>
            <m:r>
              <m:rPr>
                <m:sty m:val="b"/>
              </m:rPr>
              <w:rPr>
                <w:rFonts w:ascii="Cambria Math" w:hAnsi="Cambria Math"/>
                <w:lang w:val="en-US"/>
              </w:rPr>
              <m:t>Δ</m:t>
            </m:r>
            <m:ctrlPr>
              <w:rPr>
                <w:rFonts w:ascii="Cambria Math" w:hAnsi="Cambria Math"/>
                <w:b/>
                <w:bCs/>
                <w:lang w:val="en-US"/>
              </w:rPr>
            </m:ctrlPr>
          </m:e>
          <m:sub>
            <m:r>
              <m:rPr>
                <m:sty m:val="bi"/>
              </m:rPr>
              <w:rPr>
                <w:rFonts w:ascii="Cambria Math" w:hAnsi="Cambria Math"/>
                <w:lang w:val="en-US"/>
              </w:rPr>
              <m:t>ARO</m:t>
            </m:r>
          </m:sub>
        </m:sSub>
      </m:oMath>
      <w:r>
        <w:rPr>
          <w:b/>
          <w:bCs/>
          <w:lang w:val="en-US"/>
        </w:rPr>
        <w:t xml:space="preserve"> in Msg4 leads to having only 4 HARQ-ACK resources across all UEs in the msg4 response. In NB-IoT, the total number of HARQ-ACK resources is 16.</w:t>
      </w:r>
    </w:p>
    <w:p w14:paraId="1F6C98E6" w14:textId="77777777" w:rsidR="00AA30F5" w:rsidRDefault="00AA30F5" w:rsidP="00AA30F5">
      <w:pPr>
        <w:rPr>
          <w:b/>
          <w:bCs/>
          <w:lang w:val="en-US"/>
        </w:rPr>
      </w:pPr>
      <w:r w:rsidRPr="00102CFA">
        <w:rPr>
          <w:b/>
          <w:bCs/>
          <w:u w:val="single"/>
          <w:lang w:val="en-US"/>
        </w:rPr>
        <w:t>Proposal</w:t>
      </w:r>
      <w:r>
        <w:rPr>
          <w:b/>
          <w:bCs/>
          <w:u w:val="single"/>
          <w:lang w:val="en-US"/>
        </w:rPr>
        <w:t xml:space="preserve"> 1</w:t>
      </w:r>
      <w:r w:rsidRPr="00102CFA">
        <w:rPr>
          <w:b/>
          <w:bCs/>
          <w:u w:val="single"/>
          <w:lang w:val="en-US"/>
        </w:rPr>
        <w:t>:</w:t>
      </w:r>
      <w:r w:rsidRPr="00BB62D9">
        <w:rPr>
          <w:b/>
          <w:bCs/>
          <w:lang w:val="en-US"/>
        </w:rPr>
        <w:t xml:space="preserve"> </w:t>
      </w:r>
      <w:r>
        <w:rPr>
          <w:b/>
          <w:bCs/>
          <w:lang w:val="en-US"/>
        </w:rPr>
        <w:t xml:space="preserve">RAN1 recommends increasing the “HARQ ACK resource offset” in eMTC from 2 bits to 4 bits. </w:t>
      </w:r>
    </w:p>
    <w:p w14:paraId="24327983" w14:textId="77777777" w:rsidR="00AA30F5" w:rsidRPr="005A2442" w:rsidRDefault="00AA30F5" w:rsidP="00AA30F5">
      <w:pPr>
        <w:pStyle w:val="ListParagraph"/>
        <w:numPr>
          <w:ilvl w:val="0"/>
          <w:numId w:val="5"/>
        </w:numPr>
        <w:rPr>
          <w:b/>
          <w:bCs/>
        </w:rPr>
      </w:pPr>
      <w:r>
        <w:rPr>
          <w:b/>
          <w:bCs/>
        </w:rPr>
        <w:t>This value may be further increased by RAN2 (also the field “HARQ ACK resource”) if RAN2 decides that having 16 HARQ-ACK resources are insufficient.</w:t>
      </w:r>
    </w:p>
    <w:p w14:paraId="79A2B5D2" w14:textId="77777777" w:rsidR="00AA30F5" w:rsidRPr="00AA30F5" w:rsidRDefault="00AA30F5" w:rsidP="00EC49C9"/>
    <w:p w14:paraId="0790C4CD" w14:textId="77777777" w:rsidR="00AA30F5" w:rsidRPr="00784ED1" w:rsidRDefault="00AA30F5" w:rsidP="00AA30F5">
      <w:pPr>
        <w:rPr>
          <w:b/>
          <w:bCs/>
          <w:lang w:val="en-US"/>
        </w:rPr>
      </w:pPr>
      <w:r w:rsidRPr="009B71AF">
        <w:rPr>
          <w:b/>
          <w:bCs/>
          <w:u w:val="single"/>
          <w:lang w:val="en-US"/>
        </w:rPr>
        <w:t>Observation 2:</w:t>
      </w:r>
      <w:r>
        <w:rPr>
          <w:b/>
          <w:bCs/>
          <w:lang w:val="en-US"/>
        </w:rPr>
        <w:t xml:space="preserve"> NTN networks may operate with an artificial delay in the uplink (at the ULSRP) to accommodate negative timing errors in (N)PRACH.</w:t>
      </w:r>
    </w:p>
    <w:p w14:paraId="7A2B53F4" w14:textId="77777777" w:rsidR="00AA30F5" w:rsidRPr="005A2442" w:rsidRDefault="00AA30F5" w:rsidP="00AA30F5">
      <w:pPr>
        <w:rPr>
          <w:b/>
          <w:bCs/>
        </w:rPr>
      </w:pPr>
      <w:r w:rsidRPr="00102CFA">
        <w:rPr>
          <w:b/>
          <w:bCs/>
          <w:u w:val="single"/>
          <w:lang w:val="en-US"/>
        </w:rPr>
        <w:t>Proposal</w:t>
      </w:r>
      <w:r>
        <w:rPr>
          <w:b/>
          <w:bCs/>
          <w:u w:val="single"/>
          <w:lang w:val="en-US"/>
        </w:rPr>
        <w:t xml:space="preserve"> 2</w:t>
      </w:r>
      <w:r w:rsidRPr="00102CFA">
        <w:rPr>
          <w:b/>
          <w:bCs/>
          <w:u w:val="single"/>
          <w:lang w:val="en-US"/>
        </w:rPr>
        <w:t>:</w:t>
      </w:r>
      <w:r w:rsidRPr="00BB62D9">
        <w:rPr>
          <w:b/>
          <w:bCs/>
          <w:lang w:val="en-US"/>
        </w:rPr>
        <w:t xml:space="preserve"> </w:t>
      </w:r>
      <w:r>
        <w:rPr>
          <w:b/>
          <w:bCs/>
          <w:lang w:val="en-US"/>
        </w:rPr>
        <w:t>RAN1 recommends configuring in system information the NTA for initial CB-msg3 transmission.</w:t>
      </w:r>
    </w:p>
    <w:p w14:paraId="2A7CF5F2" w14:textId="77777777" w:rsidR="00EC49C9" w:rsidRPr="00ED53D8" w:rsidRDefault="00EC49C9" w:rsidP="0005206E"/>
    <w:p w14:paraId="2EE2C3F7" w14:textId="4F6F7EB0" w:rsidR="00394823" w:rsidRPr="00E327DE" w:rsidRDefault="00394823" w:rsidP="00394823">
      <w:pPr>
        <w:pStyle w:val="Heading1"/>
        <w:jc w:val="both"/>
        <w:rPr>
          <w:lang w:val="en-US"/>
        </w:rPr>
      </w:pPr>
      <w:r w:rsidRPr="00E327DE">
        <w:rPr>
          <w:lang w:val="en-US"/>
        </w:rPr>
        <w:t>References</w:t>
      </w:r>
    </w:p>
    <w:p w14:paraId="03614C63" w14:textId="53373CF9" w:rsidR="00F81058" w:rsidRDefault="009168B4" w:rsidP="00394823">
      <w:pPr>
        <w:rPr>
          <w:lang w:val="en-US"/>
        </w:rPr>
      </w:pPr>
      <w:r>
        <w:rPr>
          <w:lang w:val="en-US"/>
        </w:rPr>
        <w:t xml:space="preserve">[1] </w:t>
      </w:r>
      <w:r w:rsidR="004E64B1">
        <w:rPr>
          <w:bCs/>
        </w:rPr>
        <w:t>R2</w:t>
      </w:r>
      <w:r w:rsidR="004E64B1" w:rsidRPr="00FE4204">
        <w:rPr>
          <w:bCs/>
        </w:rPr>
        <w:t>-250</w:t>
      </w:r>
      <w:r w:rsidR="004E64B1">
        <w:rPr>
          <w:bCs/>
        </w:rPr>
        <w:t>4776</w:t>
      </w:r>
      <w:r w:rsidR="007F18E8">
        <w:rPr>
          <w:bCs/>
        </w:rPr>
        <w:t xml:space="preserve">, </w:t>
      </w:r>
      <w:r w:rsidR="007F18E8" w:rsidRPr="007F18E8">
        <w:rPr>
          <w:bCs/>
        </w:rPr>
        <w:t>LS on CB-msg3-EDT</w:t>
      </w:r>
      <w:r w:rsidR="007F18E8">
        <w:rPr>
          <w:bCs/>
        </w:rPr>
        <w:t xml:space="preserve"> (RAN2)</w:t>
      </w:r>
    </w:p>
    <w:sectPr w:rsidR="00F81058"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B6678" w14:textId="77777777" w:rsidR="005622ED" w:rsidRDefault="005622ED">
      <w:pPr>
        <w:spacing w:after="0"/>
      </w:pPr>
      <w:r>
        <w:separator/>
      </w:r>
    </w:p>
  </w:endnote>
  <w:endnote w:type="continuationSeparator" w:id="0">
    <w:p w14:paraId="497978F7" w14:textId="77777777" w:rsidR="005622ED" w:rsidRDefault="005622ED">
      <w:pPr>
        <w:spacing w:after="0"/>
      </w:pPr>
      <w:r>
        <w:continuationSeparator/>
      </w:r>
    </w:p>
  </w:endnote>
  <w:endnote w:type="continuationNotice" w:id="1">
    <w:p w14:paraId="46A98EDF" w14:textId="77777777" w:rsidR="005622ED" w:rsidRDefault="00562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CFD58" w14:textId="77777777" w:rsidR="005622ED" w:rsidRDefault="005622ED">
      <w:pPr>
        <w:spacing w:after="0"/>
      </w:pPr>
      <w:r>
        <w:separator/>
      </w:r>
    </w:p>
  </w:footnote>
  <w:footnote w:type="continuationSeparator" w:id="0">
    <w:p w14:paraId="3FA353F5" w14:textId="77777777" w:rsidR="005622ED" w:rsidRDefault="005622ED">
      <w:pPr>
        <w:spacing w:after="0"/>
      </w:pPr>
      <w:r>
        <w:continuationSeparator/>
      </w:r>
    </w:p>
  </w:footnote>
  <w:footnote w:type="continuationNotice" w:id="1">
    <w:p w14:paraId="4CBBF18D" w14:textId="77777777" w:rsidR="005622ED" w:rsidRDefault="005622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4"/>
  </w:num>
  <w:num w:numId="3" w16cid:durableId="1393574950">
    <w:abstractNumId w:val="3"/>
  </w:num>
  <w:num w:numId="4" w16cid:durableId="1293512971">
    <w:abstractNumId w:val="2"/>
  </w:num>
  <w:num w:numId="5" w16cid:durableId="25213033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B70"/>
    <w:rsid w:val="000B1DFB"/>
    <w:rsid w:val="000B213C"/>
    <w:rsid w:val="000B240E"/>
    <w:rsid w:val="000B2440"/>
    <w:rsid w:val="000B3E7A"/>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504B"/>
    <w:rsid w:val="00205323"/>
    <w:rsid w:val="0020566E"/>
    <w:rsid w:val="00205A01"/>
    <w:rsid w:val="00205ABE"/>
    <w:rsid w:val="00205B08"/>
    <w:rsid w:val="00205ED3"/>
    <w:rsid w:val="00206FDD"/>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B59"/>
    <w:rsid w:val="00254BE4"/>
    <w:rsid w:val="00254F67"/>
    <w:rsid w:val="002550CE"/>
    <w:rsid w:val="00255349"/>
    <w:rsid w:val="00255909"/>
    <w:rsid w:val="00255D1C"/>
    <w:rsid w:val="00255F0A"/>
    <w:rsid w:val="0025602C"/>
    <w:rsid w:val="00256BFC"/>
    <w:rsid w:val="002571CA"/>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6556"/>
    <w:rsid w:val="00276712"/>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C73"/>
    <w:rsid w:val="002C4DBD"/>
    <w:rsid w:val="002C5AE8"/>
    <w:rsid w:val="002C5F9F"/>
    <w:rsid w:val="002C693B"/>
    <w:rsid w:val="002C6AFD"/>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9D5"/>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5465"/>
    <w:rsid w:val="003C55A3"/>
    <w:rsid w:val="003C5BD8"/>
    <w:rsid w:val="003C6493"/>
    <w:rsid w:val="003C650F"/>
    <w:rsid w:val="003C6561"/>
    <w:rsid w:val="003C6977"/>
    <w:rsid w:val="003C700E"/>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BDF"/>
    <w:rsid w:val="00485D7E"/>
    <w:rsid w:val="0048606B"/>
    <w:rsid w:val="00486581"/>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2ED"/>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41A7"/>
    <w:rsid w:val="00584DC9"/>
    <w:rsid w:val="00585650"/>
    <w:rsid w:val="00585A93"/>
    <w:rsid w:val="00585E53"/>
    <w:rsid w:val="00586156"/>
    <w:rsid w:val="00586567"/>
    <w:rsid w:val="005865C0"/>
    <w:rsid w:val="005870E5"/>
    <w:rsid w:val="00587BAF"/>
    <w:rsid w:val="00587D1A"/>
    <w:rsid w:val="00587DD7"/>
    <w:rsid w:val="00587E88"/>
    <w:rsid w:val="00590239"/>
    <w:rsid w:val="005903D8"/>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A97"/>
    <w:rsid w:val="006652D5"/>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9025C"/>
    <w:rsid w:val="006904BF"/>
    <w:rsid w:val="006905AC"/>
    <w:rsid w:val="00690853"/>
    <w:rsid w:val="006909C7"/>
    <w:rsid w:val="00691B3F"/>
    <w:rsid w:val="00691FC3"/>
    <w:rsid w:val="006928B5"/>
    <w:rsid w:val="006938B9"/>
    <w:rsid w:val="00693941"/>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604E"/>
    <w:rsid w:val="00756E88"/>
    <w:rsid w:val="00757451"/>
    <w:rsid w:val="007575DD"/>
    <w:rsid w:val="00757871"/>
    <w:rsid w:val="0076032A"/>
    <w:rsid w:val="00760D57"/>
    <w:rsid w:val="00761210"/>
    <w:rsid w:val="0076190E"/>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D79"/>
    <w:rsid w:val="009B6C18"/>
    <w:rsid w:val="009B7089"/>
    <w:rsid w:val="009B71AF"/>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2026"/>
    <w:rsid w:val="00BB23B5"/>
    <w:rsid w:val="00BB3084"/>
    <w:rsid w:val="00BB3434"/>
    <w:rsid w:val="00BB3890"/>
    <w:rsid w:val="00BB3EA7"/>
    <w:rsid w:val="00BB404C"/>
    <w:rsid w:val="00BB41CC"/>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7E1"/>
    <w:rsid w:val="00BF74D8"/>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A6B"/>
    <w:rsid w:val="00EA3EAF"/>
    <w:rsid w:val="00EA40C3"/>
    <w:rsid w:val="00EA42EF"/>
    <w:rsid w:val="00EA4948"/>
    <w:rsid w:val="00EA4BB9"/>
    <w:rsid w:val="00EA5168"/>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EBA"/>
    <w:rsid w:val="00F721C8"/>
    <w:rsid w:val="00F726AF"/>
    <w:rsid w:val="00F726E3"/>
    <w:rsid w:val="00F729F8"/>
    <w:rsid w:val="00F73185"/>
    <w:rsid w:val="00F739A0"/>
    <w:rsid w:val="00F73DC9"/>
    <w:rsid w:val="00F73F1F"/>
    <w:rsid w:val="00F7447C"/>
    <w:rsid w:val="00F75165"/>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9C6"/>
    <w:rsid w:val="00FF6A54"/>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E77"/>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88545341">
      <w:bodyDiv w:val="1"/>
      <w:marLeft w:val="0"/>
      <w:marRight w:val="0"/>
      <w:marTop w:val="0"/>
      <w:marBottom w:val="0"/>
      <w:divBdr>
        <w:top w:val="none" w:sz="0" w:space="0" w:color="auto"/>
        <w:left w:val="none" w:sz="0" w:space="0" w:color="auto"/>
        <w:bottom w:val="none" w:sz="0" w:space="0" w:color="auto"/>
        <w:right w:val="none" w:sz="0" w:space="0" w:color="auto"/>
      </w:divBdr>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41613939">
      <w:bodyDiv w:val="1"/>
      <w:marLeft w:val="0"/>
      <w:marRight w:val="0"/>
      <w:marTop w:val="0"/>
      <w:marBottom w:val="0"/>
      <w:divBdr>
        <w:top w:val="none" w:sz="0" w:space="0" w:color="auto"/>
        <w:left w:val="none" w:sz="0" w:space="0" w:color="auto"/>
        <w:bottom w:val="none" w:sz="0" w:space="0" w:color="auto"/>
        <w:right w:val="none" w:sz="0" w:space="0" w:color="auto"/>
      </w:divBdr>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1198</TotalTime>
  <Pages>3</Pages>
  <Words>832</Words>
  <Characters>4745</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189</cp:revision>
  <cp:lastPrinted>2020-02-10T15:14:00Z</cp:lastPrinted>
  <dcterms:created xsi:type="dcterms:W3CDTF">2025-08-11T16:48:00Z</dcterms:created>
  <dcterms:modified xsi:type="dcterms:W3CDTF">2025-08-15T04:33:00Z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